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9D" w:rsidRDefault="00FA649D" w:rsidP="00FA649D">
      <w:pPr>
        <w:pStyle w:val="a3"/>
        <w:spacing w:line="312" w:lineRule="auto"/>
        <w:jc w:val="center"/>
      </w:pPr>
      <w:proofErr w:type="spellStart"/>
      <w:r>
        <w:rPr>
          <w:rFonts w:ascii="돋움체" w:eastAsia="돋움체" w:hAnsi="돋움체" w:hint="eastAsia"/>
          <w:b/>
          <w:bCs/>
          <w:sz w:val="48"/>
          <w:szCs w:val="48"/>
        </w:rPr>
        <w:t>시선유도봉</w:t>
      </w:r>
      <w:proofErr w:type="spellEnd"/>
      <w:r>
        <w:rPr>
          <w:rFonts w:ascii="돋움체" w:eastAsia="돋움체" w:hAnsi="돋움체" w:hint="eastAsia"/>
          <w:b/>
          <w:bCs/>
          <w:sz w:val="48"/>
          <w:szCs w:val="48"/>
        </w:rPr>
        <w:t xml:space="preserve"> 시방서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본 시방서는 도로상에 차량의 유도 차선 침범에 대한 규제가 필요한 곳이나, 차선의 분리를 명확히 하여, 교통사고를 미연에 방지토록 설치 하는 차선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규제봉의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시공이 확실하고 안전하게 설치되며 지속적인 유지 관리가 되도록 함을 목적으로 한다.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시선유도봉의 시공 및 유지관리에 적용한다.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가. 명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칭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시 선 유 도 봉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나. 규 격 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-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소형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200Φ × 80Φ × 450㎜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-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대형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210Φ × 80Φ × 750㎜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-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대형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200Φ × 80Φ × 750㎜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다. 재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질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폴리우레탄(P.U)</w:t>
      </w:r>
    </w:p>
    <w:p w:rsidR="00FA649D" w:rsidRDefault="00FA649D" w:rsidP="00FA649D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4. 제품의 구조도</w:t>
      </w:r>
    </w:p>
    <w:p w:rsidR="00FA649D" w:rsidRDefault="00FA649D" w:rsidP="00FA649D">
      <w:pPr>
        <w:pStyle w:val="a3"/>
        <w:spacing w:line="312" w:lineRule="auto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998855</wp:posOffset>
            </wp:positionH>
            <wp:positionV relativeFrom="line">
              <wp:posOffset>133985</wp:posOffset>
            </wp:positionV>
            <wp:extent cx="3562350" cy="3478530"/>
            <wp:effectExtent l="19050" t="0" r="0" b="0"/>
            <wp:wrapTopAndBottom/>
            <wp:docPr id="2" name="_x149414688" descr="EMB00001d480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9414688" descr="EMB00001d48073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7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>5. 시 공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안전조치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시공에 들어가기 전에 자동차 운전자에 주의를 환기시킬 수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있는 조치를 취한다.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일반도로에 있어서는 운전자뿐만 아니라 보행자의 안전을 위한 조치도 취해야 한다.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설치 위치의 기타 구조물에 대한 영향에도 충분한 검토가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필요 하다.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 공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시선유도봉의 설치는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의거하여 시공한다.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설계사양에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 간격 (곡선구간: M,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직선구간: M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,안전지대</w:t>
      </w:r>
      <w:proofErr w:type="gramEnd"/>
      <w:r>
        <w:rPr>
          <w:rFonts w:ascii="돋움체" w:eastAsia="돋움체" w:hAnsi="돋움체" w:hint="eastAsia"/>
          <w:sz w:val="26"/>
          <w:szCs w:val="26"/>
        </w:rPr>
        <w:t>: M)을 맞추어 설치 장소를 표기한다.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차선규제봉의 볼트 구멍과 일치하게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힐티드릴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bookmarkStart w:id="0" w:name="_GoBack"/>
      <w:bookmarkEnd w:id="0"/>
      <w:r>
        <w:rPr>
          <w:rFonts w:ascii="MS Mincho" w:eastAsia="MS Mincho" w:hAnsi="MS Mincho" w:cs="MS Mincho" w:hint="eastAsia"/>
          <w:sz w:val="26"/>
          <w:szCs w:val="26"/>
        </w:rPr>
        <w:t>∅</w:t>
      </w:r>
      <w:r w:rsidR="00897FC6">
        <w:rPr>
          <w:rFonts w:ascii="돋움체" w:eastAsia="돋움체" w:hAnsi="돋움체" w:hint="eastAsia"/>
          <w:sz w:val="26"/>
          <w:szCs w:val="26"/>
        </w:rPr>
        <w:t>1</w:t>
      </w:r>
      <w:r w:rsidR="00897FC6">
        <w:rPr>
          <w:rFonts w:ascii="돋움체" w:eastAsia="돋움체" w:hAnsi="돋움체"/>
          <w:sz w:val="26"/>
          <w:szCs w:val="26"/>
        </w:rPr>
        <w:t>4</w:t>
      </w:r>
      <w:r>
        <w:rPr>
          <w:rFonts w:ascii="돋움체" w:eastAsia="돋움체" w:hAnsi="돋움체" w:hint="eastAsia"/>
          <w:sz w:val="26"/>
          <w:szCs w:val="26"/>
        </w:rPr>
        <w:t xml:space="preserve">)으로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90㎜이상 깊이로 천공한다.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차선규제봉을 천공한 위치에 놓고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볼트(</w:t>
      </w:r>
      <w:r>
        <w:rPr>
          <w:rFonts w:ascii="돋움체" w:eastAsia="돋움체" w:hAnsi="돋움체" w:cs="돋움체" w:hint="eastAsia"/>
          <w:sz w:val="26"/>
          <w:szCs w:val="26"/>
        </w:rPr>
        <w:t>󰍋</w:t>
      </w:r>
      <w:r>
        <w:rPr>
          <w:rFonts w:ascii="돋움체" w:eastAsia="돋움체" w:hAnsi="돋움체" w:hint="eastAsia"/>
          <w:sz w:val="26"/>
          <w:szCs w:val="26"/>
        </w:rPr>
        <w:t>12× 82㎜)를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임팩트(17mm)로 끼운다.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5) 시공 설치 후 다음 사항을 확인한다.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a) 차선규제봉의 외관상 측면(차량 진행 방향)에는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돌출물이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없어야 한다.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b) 설계도에 표시된 규정대로 설치 되었는지를 확인한다.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6) 주변정리를 하고 안전 조치 시설물을 철거한다.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※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,중,후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촬영하여 시공이 완료되었음을 입증하도록 하여야 한다.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설치된 차선규제봉은 주기적인 점검을 통하여 제 기능을 발휘하는지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점검하고 유지관리를 하여야 한다.</w:t>
      </w:r>
    </w:p>
    <w:p w:rsidR="00FA649D" w:rsidRDefault="00FA649D" w:rsidP="00FA649D">
      <w:pPr>
        <w:pStyle w:val="a3"/>
      </w:pPr>
      <w:proofErr w:type="gramStart"/>
      <w:r>
        <w:rPr>
          <w:rFonts w:ascii="돋움체" w:eastAsia="돋움체" w:hAnsi="돋움체" w:hint="eastAsia"/>
          <w:sz w:val="26"/>
          <w:szCs w:val="26"/>
        </w:rPr>
        <w:t>가.점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검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오염상태(매연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,분진,흙탕물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등)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풀림여부</w:t>
      </w:r>
      <w:proofErr w:type="spellEnd"/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파손 유무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4) 반사지 떨어짐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청소 및 보수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점검 결과 오염은 시선유도 효과를 떨어뜨리므로 청소를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실시한다.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또한 본체의 파손은 시공의 역순으로 해체하여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파손품을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제거하고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시공 순서대로 재시공 보수한다.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그리고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반사지의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회손은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청소 후 재 부착한다.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</w:t>
      </w:r>
    </w:p>
    <w:p w:rsidR="00FA649D" w:rsidRDefault="00FA649D" w:rsidP="00FA649D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따라야 한다.</w:t>
      </w:r>
    </w:p>
    <w:p w:rsidR="00B26B1E" w:rsidRDefault="00B26B1E"/>
    <w:sectPr w:rsidR="00B26B1E" w:rsidSect="00B26B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4D"/>
    <w:rsid w:val="0075384D"/>
    <w:rsid w:val="00897FC6"/>
    <w:rsid w:val="00B26B1E"/>
    <w:rsid w:val="00F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453C"/>
  <w15:docId w15:val="{E767EB55-5D4D-471B-8297-79672310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1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649D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1107</Characters>
  <Application>Microsoft Office Word</Application>
  <DocSecurity>4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2</cp:revision>
  <dcterms:created xsi:type="dcterms:W3CDTF">2018-12-26T01:28:00Z</dcterms:created>
  <dcterms:modified xsi:type="dcterms:W3CDTF">2018-12-26T01:28:00Z</dcterms:modified>
</cp:coreProperties>
</file>